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</w:pPr>
      <w:r>
        <w:t xml:space="preserve">Правительством Российской Федерации усилены требования к подрядным организациям, привлекаемым к работам по капитальному ремонту многоквартирных домов</w:t>
      </w:r>
      <w:r/>
    </w:p>
    <w:p>
      <w:pPr>
        <w:jc w:val="both"/>
        <w:spacing w:after="0"/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/>
        <w:rPr>
          <w:highlight w:val="none"/>
        </w:rPr>
      </w:pPr>
      <w:r>
        <w:t xml:space="preserve">При проведении предварительного отбора подрядных организаций для оказания услуг и (или) выполнения работ по капитал</w:t>
      </w:r>
      <w:r>
        <w:t xml:space="preserve">ьному ремонту общего имущества в многоквартирном доме установлено дополнительное требование к участникам предварительного отбора – отсутствие в отношении участника предварительного отбора решения об исключении подрядной организации из реестра квалифицирова</w:t>
      </w:r>
      <w:r>
        <w:t xml:space="preserve">нных подрядных организаций в случае установления одного из фактов, указанных в подпунктах «з» - «к» пункта 66 данного Положения, в течение года до даты рассмотрения заявок на участие в предварительном отборе комиссией по проведению предварительного отбора.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К основаниям исключения информации о подрядной организации из реестра квалифицированных подрядных организаций добавлены: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– непр</w:t>
      </w:r>
      <w:r>
        <w:t xml:space="preserve">едставление подрядной организацией в случае изменения сведений о подрядной организации, содержащихся в реестре квалифицированных подрядных организаций, в орган по ведению реестра документов, указанных в пункте 69 настоящего Положения, в установленный срок;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– включение информации о подрядной организации, включенной в реестр квалифицированных подрядных организаций, по результатам нового предварительного отбора до истечения периода, на к</w:t>
      </w:r>
      <w:r>
        <w:t xml:space="preserve">оторый подрядная организация была включена в реестр квалифицированных подрядных организаций, – в части информации, содержащейся в реестре квалифицированных подрядных организаций и включенной в него по результатам ранее проведенного предварительного отбора.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Кроме того, согласно внесенным изменениям Заявка на участие в электронном аукционе не допускается комиссией по осуществлению закупок к участию в электронном аукционе в том числе в случае применения в отношении подрядной организации саморег</w:t>
      </w:r>
      <w:r>
        <w:t xml:space="preserve">улируемой организацией меры дисциплинарного воздействия в виде приостановления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Соответствующие изменения внесены Постановлением Правительства РФ от 12.10.2023 № 1690 в Положение о привлечении специализированной некоммерческой организацией, осуществляющей деятельность, </w:t>
      </w:r>
      <w:r>
        <w:t xml:space="preserve">направленную на обеспечение проведения капитального ремонта общего имущества в многоквартирных домах, подрядны</w:t>
      </w:r>
      <w:r>
        <w:t xml:space="preserve">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РФ от 01.07.2016 № 615 и вступают в силу с 23.10.2023 (за исключением отдельных положений).</w:t>
      </w:r>
      <w:r/>
    </w:p>
    <w:p>
      <w:pPr>
        <w:jc w:val="both"/>
        <w:spacing w:after="0"/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2</cp:revision>
  <dcterms:created xsi:type="dcterms:W3CDTF">2023-10-24T12:13:00Z</dcterms:created>
  <dcterms:modified xsi:type="dcterms:W3CDTF">2023-11-03T12:21:20Z</dcterms:modified>
</cp:coreProperties>
</file>